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ECF" w:rsidRDefault="00637ECF" w:rsidP="00637ECF">
      <w:pPr>
        <w:pStyle w:val="NoSpacing"/>
        <w:jc w:val="both"/>
      </w:pPr>
      <w:r>
        <w:rPr>
          <w:noProof/>
        </w:rPr>
        <mc:AlternateContent>
          <mc:Choice Requires="wps">
            <w:drawing>
              <wp:anchor distT="0" distB="0" distL="114300" distR="114300" simplePos="0" relativeHeight="251663360" behindDoc="0" locked="0" layoutInCell="1" allowOverlap="1" wp14:anchorId="62B77095" wp14:editId="3266E65C">
                <wp:simplePos x="0" y="0"/>
                <wp:positionH relativeFrom="column">
                  <wp:posOffset>158750</wp:posOffset>
                </wp:positionH>
                <wp:positionV relativeFrom="paragraph">
                  <wp:posOffset>-238042</wp:posOffset>
                </wp:positionV>
                <wp:extent cx="1304014" cy="1049738"/>
                <wp:effectExtent l="0" t="0" r="10795" b="17145"/>
                <wp:wrapNone/>
                <wp:docPr id="2" name="Text Box 2"/>
                <wp:cNvGraphicFramePr/>
                <a:graphic xmlns:a="http://schemas.openxmlformats.org/drawingml/2006/main">
                  <a:graphicData uri="http://schemas.microsoft.com/office/word/2010/wordprocessingShape">
                    <wps:wsp>
                      <wps:cNvSpPr txBox="1"/>
                      <wps:spPr>
                        <a:xfrm>
                          <a:off x="0" y="0"/>
                          <a:ext cx="1304014" cy="10497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77095" id="_x0000_t202" coordsize="21600,21600" o:spt="202" path="m,l,21600r21600,l21600,xe">
                <v:stroke joinstyle="miter"/>
                <v:path gradientshapeok="t" o:connecttype="rect"/>
              </v:shapetype>
              <v:shape id="Text Box 2" o:spid="_x0000_s1026" type="#_x0000_t202" style="position:absolute;left:0;text-align:left;margin-left:12.5pt;margin-top:-18.75pt;width:102.7pt;height:8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" fillcolor="white [3201]" strokecolor="white [3212]" strokeweight=".5pt">
                <v:textbox>
                  <w:txbxContent>
                    <w:p w:rsidR="00637ECF" w:rsidRDefault="00637ECF" w:rsidP="00637ECF">
                      <w:r>
                        <w:rPr>
                          <w:noProof/>
                        </w:rPr>
                        <w:drawing>
                          <wp:inline distT="0" distB="0" distL="0" distR="0" wp14:anchorId="4658DCCF" wp14:editId="5A1BD30E">
                            <wp:extent cx="993775" cy="1002030"/>
                            <wp:effectExtent l="0" t="0" r="0" b="0"/>
                            <wp:docPr id="6" name="Picture 6" descr="http://rakcerambd.com/assests/images/ra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kcerambd.com/assests/images/rak_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100203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0A03648" wp14:editId="0D4F405A">
                <wp:simplePos x="0" y="0"/>
                <wp:positionH relativeFrom="column">
                  <wp:posOffset>930247</wp:posOffset>
                </wp:positionH>
                <wp:positionV relativeFrom="paragraph">
                  <wp:posOffset>-65101</wp:posOffset>
                </wp:positionV>
                <wp:extent cx="4970780" cy="7867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7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03648" id="Text Box 5" o:spid="_x0000_s1027" type="#_x0000_t202" style="position:absolute;left:0;text-align:left;margin-left:73.25pt;margin-top:-5.15pt;width:391.4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" stroked="f">
                <v:textbox>
                  <w:txbxContent>
                    <w:p w:rsidR="00637ECF" w:rsidRPr="00E36766" w:rsidRDefault="00637ECF" w:rsidP="00637ECF">
                      <w:pPr>
                        <w:pStyle w:val="NoSpacing"/>
                        <w:ind w:firstLine="720"/>
                        <w:jc w:val="center"/>
                        <w:rPr>
                          <w:sz w:val="40"/>
                          <w:szCs w:val="32"/>
                        </w:rPr>
                      </w:pPr>
                      <w:r w:rsidRPr="00E36766">
                        <w:rPr>
                          <w:sz w:val="40"/>
                        </w:rPr>
                        <w:t>RAK Ceramics</w:t>
                      </w:r>
                      <w:r w:rsidRPr="00E36766">
                        <w:rPr>
                          <w:sz w:val="38"/>
                          <w:szCs w:val="32"/>
                        </w:rPr>
                        <w:t xml:space="preserve"> </w:t>
                      </w:r>
                      <w:r w:rsidRPr="00E36766">
                        <w:rPr>
                          <w:sz w:val="40"/>
                        </w:rPr>
                        <w:t>(Bangladesh</w:t>
                      </w:r>
                      <w:r w:rsidRPr="00E36766">
                        <w:rPr>
                          <w:sz w:val="42"/>
                        </w:rPr>
                        <w:t>) Limited</w:t>
                      </w:r>
                    </w:p>
                    <w:p w:rsidR="00637ECF" w:rsidRPr="00E36766" w:rsidRDefault="00637ECF" w:rsidP="00637ECF">
                      <w:pPr>
                        <w:pStyle w:val="NoSpacing"/>
                        <w:ind w:firstLine="720"/>
                        <w:jc w:val="center"/>
                      </w:pPr>
                      <w:r w:rsidRPr="00E36766">
                        <w:t>RAK Tower (7</w:t>
                      </w:r>
                      <w:r w:rsidRPr="00E36766">
                        <w:rPr>
                          <w:vertAlign w:val="superscript"/>
                        </w:rPr>
                        <w:t>th</w:t>
                      </w:r>
                      <w:r w:rsidRPr="00E36766">
                        <w:t>, 8</w:t>
                      </w:r>
                      <w:r w:rsidRPr="00E36766">
                        <w:rPr>
                          <w:vertAlign w:val="superscript"/>
                        </w:rPr>
                        <w:t>th</w:t>
                      </w:r>
                      <w:r w:rsidRPr="00E36766">
                        <w:t xml:space="preserve"> &amp; 9</w:t>
                      </w:r>
                      <w:r w:rsidRPr="00E36766">
                        <w:rPr>
                          <w:vertAlign w:val="superscript"/>
                        </w:rPr>
                        <w:t>th</w:t>
                      </w:r>
                      <w:r w:rsidRPr="00E36766">
                        <w:t xml:space="preserve"> Floor), Plot # 1/A, </w:t>
                      </w:r>
                      <w:proofErr w:type="spellStart"/>
                      <w:r w:rsidRPr="00E36766">
                        <w:t>Jasimuddin</w:t>
                      </w:r>
                      <w:proofErr w:type="spellEnd"/>
                      <w:r w:rsidRPr="00E36766">
                        <w:t xml:space="preserve"> Avenue,</w:t>
                      </w:r>
                    </w:p>
                    <w:p w:rsidR="00637ECF" w:rsidRPr="00E36766" w:rsidRDefault="00637ECF" w:rsidP="00637ECF">
                      <w:pPr>
                        <w:pStyle w:val="NoSpacing"/>
                        <w:jc w:val="center"/>
                        <w:rPr>
                          <w:sz w:val="20"/>
                        </w:rPr>
                      </w:pPr>
                      <w:r w:rsidRPr="00E36766">
                        <w:rPr>
                          <w:sz w:val="20"/>
                        </w:rPr>
                        <w:t>Sector # 3, Uttara Model Town, Dhaka-1230</w:t>
                      </w:r>
                    </w:p>
                    <w:p w:rsidR="00637ECF" w:rsidRDefault="00637ECF" w:rsidP="00637ECF">
                      <w:pPr>
                        <w:rPr>
                          <w:rFonts w:ascii="Calibri" w:eastAsia="Times New Roman" w:hAnsi="Calibri" w:cs="Times New Roman"/>
                          <w:sz w:val="24"/>
                        </w:rPr>
                      </w:pPr>
                    </w:p>
                    <w:p w:rsidR="00637ECF" w:rsidRPr="0059777E" w:rsidRDefault="00637ECF" w:rsidP="00637ECF">
                      <w:pPr>
                        <w:rPr>
                          <w:rFonts w:ascii="Calibri" w:eastAsia="Times New Roman" w:hAnsi="Calibri" w:cs="Times New Roman"/>
                          <w:sz w:val="24"/>
                        </w:rPr>
                      </w:pPr>
                    </w:p>
                  </w:txbxContent>
                </v:textbox>
              </v:shape>
            </w:pict>
          </mc:Fallback>
        </mc:AlternateContent>
      </w: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Default="00637ECF" w:rsidP="00637ECF">
      <w:pPr>
        <w:pStyle w:val="NoSpacing"/>
        <w:jc w:val="both"/>
      </w:pPr>
    </w:p>
    <w:p w:rsidR="00637ECF" w:rsidRPr="00266E61" w:rsidRDefault="00637ECF" w:rsidP="00637ECF">
      <w:pPr>
        <w:pStyle w:val="NoSpacing"/>
        <w:ind w:firstLine="720"/>
        <w:rPr>
          <w:b/>
          <w:color w:val="FFFFFF" w:themeColor="background1"/>
          <w:sz w:val="40"/>
          <w:szCs w:val="40"/>
          <w:u w:val="single"/>
        </w:rPr>
      </w:pPr>
      <w:r w:rsidRPr="00BB7D82">
        <w:rPr>
          <w:rFonts w:cs="Arial"/>
          <w:b/>
          <w:color w:val="FFFFFF" w:themeColor="background1"/>
          <w:sz w:val="40"/>
          <w:szCs w:val="40"/>
          <w:u w:val="single"/>
        </w:rPr>
        <w:t xml:space="preserve">              </w:t>
      </w:r>
      <w:r w:rsidRPr="00266E61">
        <w:rPr>
          <w:rFonts w:cs="Arial"/>
          <w:b/>
          <w:color w:val="FFFFFF" w:themeColor="background1"/>
          <w:sz w:val="40"/>
          <w:szCs w:val="40"/>
          <w:highlight w:val="black"/>
          <w:u w:val="single"/>
        </w:rPr>
        <w:t>Price Sensitive Information</w:t>
      </w:r>
    </w:p>
    <w:p w:rsidR="00637ECF" w:rsidRPr="002A5DA1" w:rsidRDefault="00637ECF" w:rsidP="00637ECF">
      <w:pPr>
        <w:pStyle w:val="NoSpacing"/>
        <w:jc w:val="both"/>
      </w:pPr>
    </w:p>
    <w:p w:rsidR="00A54BF7" w:rsidRPr="00E22940" w:rsidRDefault="00637ECF" w:rsidP="00A54BF7">
      <w:pPr>
        <w:pStyle w:val="NoSpacing"/>
        <w:jc w:val="both"/>
        <w:rPr>
          <w:rFonts w:cs="Arial"/>
          <w:sz w:val="20"/>
          <w:szCs w:val="20"/>
        </w:rPr>
      </w:pPr>
      <w:r w:rsidRPr="00F867B4">
        <w:rPr>
          <w:rFonts w:cs="Arial"/>
          <w:sz w:val="18"/>
          <w:szCs w:val="18"/>
        </w:rPr>
        <w:t>This is for information of all concerned that</w:t>
      </w:r>
      <w:r w:rsidRPr="00F867B4">
        <w:rPr>
          <w:rFonts w:cs="Arial"/>
          <w:color w:val="000000" w:themeColor="text1"/>
          <w:sz w:val="18"/>
          <w:szCs w:val="18"/>
        </w:rPr>
        <w:t xml:space="preserve"> </w:t>
      </w:r>
      <w:r w:rsidR="00A54BF7" w:rsidRPr="00E22940">
        <w:rPr>
          <w:rFonts w:cs="Arial"/>
          <w:sz w:val="20"/>
          <w:szCs w:val="20"/>
        </w:rPr>
        <w:t>the Board of Directors of RAK Ceramics (Bangladesh) Limited in its meeting held on</w:t>
      </w:r>
      <w:r w:rsidR="00A54BF7" w:rsidRPr="00E22940">
        <w:rPr>
          <w:rFonts w:cs="Arial"/>
          <w:color w:val="000000" w:themeColor="text1"/>
          <w:sz w:val="20"/>
          <w:szCs w:val="20"/>
        </w:rPr>
        <w:t xml:space="preserve"> Wednesday</w:t>
      </w:r>
      <w:r w:rsidR="00A54BF7">
        <w:rPr>
          <w:rFonts w:cs="Arial"/>
          <w:color w:val="000000" w:themeColor="text1"/>
          <w:sz w:val="20"/>
          <w:szCs w:val="20"/>
        </w:rPr>
        <w:t>,</w:t>
      </w:r>
      <w:r w:rsidR="00A54BF7" w:rsidRPr="002A4E6A">
        <w:rPr>
          <w:rFonts w:cs="Arial"/>
          <w:color w:val="FF0000"/>
          <w:sz w:val="20"/>
          <w:szCs w:val="20"/>
        </w:rPr>
        <w:t xml:space="preserve"> </w:t>
      </w:r>
      <w:r w:rsidR="00A54BF7" w:rsidRPr="002A4E6A">
        <w:rPr>
          <w:rFonts w:cs="Arial"/>
          <w:color w:val="000000" w:themeColor="text1"/>
          <w:sz w:val="20"/>
          <w:szCs w:val="20"/>
        </w:rPr>
        <w:t xml:space="preserve">July 28, 2021 from 7:00 p.m. to 8.30 p.m. </w:t>
      </w:r>
      <w:r w:rsidR="00A54BF7" w:rsidRPr="00E22940">
        <w:rPr>
          <w:rFonts w:eastAsiaTheme="minorHAnsi" w:cs="Arial"/>
          <w:sz w:val="20"/>
          <w:szCs w:val="20"/>
        </w:rPr>
        <w:t>virtually by using digital platform.</w:t>
      </w:r>
      <w:r w:rsidR="00A54BF7" w:rsidRPr="00E22940">
        <w:rPr>
          <w:rFonts w:cs="Arial"/>
          <w:color w:val="000000" w:themeColor="text1"/>
          <w:sz w:val="20"/>
          <w:szCs w:val="20"/>
        </w:rPr>
        <w:t xml:space="preserve"> </w:t>
      </w:r>
      <w:r w:rsidR="00A54BF7" w:rsidRPr="00E22940">
        <w:rPr>
          <w:rFonts w:cs="Arial"/>
          <w:sz w:val="20"/>
          <w:szCs w:val="20"/>
        </w:rPr>
        <w:t>The Board of Directors</w:t>
      </w:r>
      <w:r w:rsidR="00A54BF7" w:rsidRPr="00E22940">
        <w:rPr>
          <w:rFonts w:cs="Arial"/>
          <w:color w:val="000000" w:themeColor="text1"/>
          <w:sz w:val="20"/>
          <w:szCs w:val="20"/>
        </w:rPr>
        <w:t xml:space="preserve"> has approved</w:t>
      </w:r>
      <w:r w:rsidR="00A54BF7" w:rsidRPr="00E22940">
        <w:rPr>
          <w:rFonts w:cs="Arial"/>
          <w:sz w:val="20"/>
          <w:szCs w:val="20"/>
        </w:rPr>
        <w:t xml:space="preserve"> the un-audited consolidated financial statements of the Company for the second quarter ended 30 June 2021. The key financial positions of the Company for that period are as follows:</w:t>
      </w:r>
    </w:p>
    <w:p w:rsidR="00A54BF7" w:rsidRPr="00E22940" w:rsidRDefault="00A54BF7" w:rsidP="00A54BF7">
      <w:pPr>
        <w:pStyle w:val="NoSpacing"/>
        <w:jc w:val="both"/>
        <w:rPr>
          <w:rFonts w:cs="Arial"/>
          <w:color w:val="000000" w:themeColor="text1"/>
          <w:sz w:val="8"/>
          <w:szCs w:val="20"/>
        </w:rPr>
      </w:pPr>
    </w:p>
    <w:tbl>
      <w:tblPr>
        <w:tblStyle w:val="TableGrid"/>
        <w:tblW w:w="9473" w:type="dxa"/>
        <w:tblInd w:w="175" w:type="dxa"/>
        <w:tblLook w:val="04A0" w:firstRow="1" w:lastRow="0" w:firstColumn="1" w:lastColumn="0" w:noHBand="0" w:noVBand="1"/>
      </w:tblPr>
      <w:tblGrid>
        <w:gridCol w:w="2993"/>
        <w:gridCol w:w="1620"/>
        <w:gridCol w:w="1620"/>
        <w:gridCol w:w="1620"/>
        <w:gridCol w:w="1620"/>
      </w:tblGrid>
      <w:tr w:rsidR="00A54BF7" w:rsidRPr="00E22940" w:rsidTr="001C7965">
        <w:tc>
          <w:tcPr>
            <w:tcW w:w="2993" w:type="dxa"/>
          </w:tcPr>
          <w:p w:rsidR="00A54BF7" w:rsidRPr="00E22940" w:rsidRDefault="00A54BF7" w:rsidP="001C7965">
            <w:pPr>
              <w:pStyle w:val="NoSpacing"/>
              <w:jc w:val="both"/>
              <w:rPr>
                <w:rFonts w:cs="Arial"/>
                <w:b/>
                <w:sz w:val="20"/>
                <w:szCs w:val="20"/>
              </w:rPr>
            </w:pPr>
            <w:r w:rsidRPr="00E22940">
              <w:rPr>
                <w:rFonts w:cs="Arial"/>
                <w:b/>
                <w:sz w:val="20"/>
                <w:szCs w:val="20"/>
              </w:rPr>
              <w:t>Particulars</w:t>
            </w:r>
          </w:p>
        </w:tc>
        <w:tc>
          <w:tcPr>
            <w:tcW w:w="1620" w:type="dxa"/>
          </w:tcPr>
          <w:p w:rsidR="00A54BF7" w:rsidRPr="00E22940" w:rsidRDefault="00A54BF7" w:rsidP="001C7965">
            <w:pPr>
              <w:pStyle w:val="NoSpacing"/>
              <w:jc w:val="center"/>
              <w:rPr>
                <w:rFonts w:cs="Arial"/>
                <w:b/>
                <w:color w:val="000000" w:themeColor="text1"/>
                <w:sz w:val="20"/>
                <w:szCs w:val="20"/>
              </w:rPr>
            </w:pPr>
            <w:r w:rsidRPr="00E22940">
              <w:rPr>
                <w:rFonts w:cs="Arial"/>
                <w:b/>
                <w:color w:val="000000" w:themeColor="text1"/>
                <w:sz w:val="20"/>
                <w:szCs w:val="20"/>
              </w:rPr>
              <w:t>For the period 1</w:t>
            </w:r>
            <w:r w:rsidRPr="00E22940">
              <w:rPr>
                <w:rFonts w:cs="Arial"/>
                <w:b/>
                <w:color w:val="000000" w:themeColor="text1"/>
                <w:sz w:val="20"/>
                <w:szCs w:val="20"/>
                <w:vertAlign w:val="superscript"/>
              </w:rPr>
              <w:t>st</w:t>
            </w:r>
            <w:r w:rsidRPr="00E22940">
              <w:rPr>
                <w:rFonts w:cs="Arial"/>
                <w:b/>
                <w:color w:val="000000" w:themeColor="text1"/>
                <w:sz w:val="20"/>
                <w:szCs w:val="20"/>
              </w:rPr>
              <w:t xml:space="preserve"> </w:t>
            </w:r>
            <w:r w:rsidRPr="00E22940">
              <w:rPr>
                <w:rFonts w:cs="Arial"/>
                <w:b/>
                <w:color w:val="000000" w:themeColor="text1"/>
                <w:sz w:val="20"/>
                <w:szCs w:val="20"/>
                <w:vertAlign w:val="superscript"/>
              </w:rPr>
              <w:t xml:space="preserve"> </w:t>
            </w:r>
            <w:r w:rsidRPr="00E22940">
              <w:rPr>
                <w:rFonts w:cs="Arial"/>
                <w:b/>
                <w:color w:val="000000" w:themeColor="text1"/>
                <w:sz w:val="20"/>
                <w:szCs w:val="20"/>
              </w:rPr>
              <w:t>January to 30</w:t>
            </w:r>
            <w:r w:rsidRPr="00E22940">
              <w:rPr>
                <w:rFonts w:cs="Arial"/>
                <w:b/>
                <w:color w:val="000000" w:themeColor="text1"/>
                <w:sz w:val="20"/>
                <w:szCs w:val="20"/>
                <w:vertAlign w:val="superscript"/>
              </w:rPr>
              <w:t>th</w:t>
            </w:r>
            <w:r w:rsidRPr="00E22940">
              <w:rPr>
                <w:rFonts w:cs="Arial"/>
                <w:b/>
                <w:color w:val="000000" w:themeColor="text1"/>
                <w:sz w:val="20"/>
                <w:szCs w:val="20"/>
              </w:rPr>
              <w:t xml:space="preserve">  June 2021</w:t>
            </w:r>
          </w:p>
        </w:tc>
        <w:tc>
          <w:tcPr>
            <w:tcW w:w="1620" w:type="dxa"/>
          </w:tcPr>
          <w:p w:rsidR="00A54BF7" w:rsidRPr="00E22940" w:rsidRDefault="00A54BF7" w:rsidP="001C7965">
            <w:pPr>
              <w:pStyle w:val="NoSpacing"/>
              <w:jc w:val="center"/>
              <w:rPr>
                <w:rFonts w:cs="Arial"/>
                <w:b/>
                <w:color w:val="000000" w:themeColor="text1"/>
                <w:sz w:val="20"/>
                <w:szCs w:val="20"/>
              </w:rPr>
            </w:pPr>
            <w:r w:rsidRPr="00E22940">
              <w:rPr>
                <w:rFonts w:cs="Arial"/>
                <w:b/>
                <w:color w:val="000000" w:themeColor="text1"/>
                <w:sz w:val="20"/>
                <w:szCs w:val="20"/>
              </w:rPr>
              <w:t>For the period 1</w:t>
            </w:r>
            <w:r w:rsidRPr="00E22940">
              <w:rPr>
                <w:rFonts w:cs="Arial"/>
                <w:b/>
                <w:color w:val="000000" w:themeColor="text1"/>
                <w:sz w:val="20"/>
                <w:szCs w:val="20"/>
                <w:vertAlign w:val="superscript"/>
              </w:rPr>
              <w:t>st</w:t>
            </w:r>
            <w:r w:rsidRPr="00E22940">
              <w:rPr>
                <w:rFonts w:cs="Arial"/>
                <w:b/>
                <w:color w:val="000000" w:themeColor="text1"/>
                <w:sz w:val="20"/>
                <w:szCs w:val="20"/>
              </w:rPr>
              <w:t xml:space="preserve"> </w:t>
            </w:r>
            <w:r w:rsidRPr="00E22940">
              <w:rPr>
                <w:rFonts w:cs="Arial"/>
                <w:b/>
                <w:color w:val="000000" w:themeColor="text1"/>
                <w:sz w:val="20"/>
                <w:szCs w:val="20"/>
                <w:vertAlign w:val="superscript"/>
              </w:rPr>
              <w:t xml:space="preserve"> </w:t>
            </w:r>
            <w:r w:rsidRPr="00E22940">
              <w:rPr>
                <w:rFonts w:cs="Arial"/>
                <w:b/>
                <w:color w:val="000000" w:themeColor="text1"/>
                <w:sz w:val="20"/>
                <w:szCs w:val="20"/>
              </w:rPr>
              <w:t>January to 30</w:t>
            </w:r>
            <w:r w:rsidRPr="00E22940">
              <w:rPr>
                <w:rFonts w:cs="Arial"/>
                <w:b/>
                <w:color w:val="000000" w:themeColor="text1"/>
                <w:sz w:val="20"/>
                <w:szCs w:val="20"/>
                <w:vertAlign w:val="superscript"/>
              </w:rPr>
              <w:t>th</w:t>
            </w:r>
            <w:r w:rsidRPr="00E22940">
              <w:rPr>
                <w:rFonts w:cs="Arial"/>
                <w:b/>
                <w:color w:val="000000" w:themeColor="text1"/>
                <w:sz w:val="20"/>
                <w:szCs w:val="20"/>
              </w:rPr>
              <w:t xml:space="preserve">  June 2020</w:t>
            </w:r>
          </w:p>
        </w:tc>
        <w:tc>
          <w:tcPr>
            <w:tcW w:w="1620" w:type="dxa"/>
          </w:tcPr>
          <w:p w:rsidR="00A54BF7" w:rsidRPr="00E22940" w:rsidRDefault="00A54BF7" w:rsidP="001C7965">
            <w:pPr>
              <w:pStyle w:val="NoSpacing"/>
              <w:jc w:val="center"/>
              <w:rPr>
                <w:rFonts w:cs="Arial"/>
                <w:b/>
                <w:sz w:val="20"/>
                <w:szCs w:val="20"/>
              </w:rPr>
            </w:pPr>
            <w:r w:rsidRPr="00E22940">
              <w:rPr>
                <w:rFonts w:cs="Arial"/>
                <w:b/>
                <w:color w:val="000000" w:themeColor="text1"/>
                <w:sz w:val="20"/>
                <w:szCs w:val="20"/>
              </w:rPr>
              <w:t>For the period 1</w:t>
            </w:r>
            <w:r w:rsidRPr="00E22940">
              <w:rPr>
                <w:rFonts w:cs="Arial"/>
                <w:b/>
                <w:color w:val="000000" w:themeColor="text1"/>
                <w:sz w:val="20"/>
                <w:szCs w:val="20"/>
                <w:vertAlign w:val="superscript"/>
              </w:rPr>
              <w:t>st</w:t>
            </w:r>
            <w:r w:rsidRPr="00E22940">
              <w:rPr>
                <w:rFonts w:cs="Arial"/>
                <w:b/>
                <w:color w:val="000000" w:themeColor="text1"/>
                <w:sz w:val="20"/>
                <w:szCs w:val="20"/>
              </w:rPr>
              <w:t xml:space="preserve"> </w:t>
            </w:r>
            <w:r w:rsidRPr="00E22940">
              <w:rPr>
                <w:rFonts w:cs="Arial"/>
                <w:b/>
                <w:color w:val="000000" w:themeColor="text1"/>
                <w:sz w:val="20"/>
                <w:szCs w:val="20"/>
                <w:vertAlign w:val="superscript"/>
              </w:rPr>
              <w:t xml:space="preserve"> </w:t>
            </w:r>
            <w:r w:rsidRPr="00E22940">
              <w:rPr>
                <w:rFonts w:cs="Arial"/>
                <w:b/>
                <w:color w:val="000000" w:themeColor="text1"/>
                <w:sz w:val="20"/>
                <w:szCs w:val="20"/>
              </w:rPr>
              <w:t>April to 30</w:t>
            </w:r>
            <w:r w:rsidRPr="00E22940">
              <w:rPr>
                <w:rFonts w:cs="Arial"/>
                <w:b/>
                <w:color w:val="000000" w:themeColor="text1"/>
                <w:sz w:val="20"/>
                <w:szCs w:val="20"/>
                <w:vertAlign w:val="superscript"/>
              </w:rPr>
              <w:t>th</w:t>
            </w:r>
            <w:r w:rsidRPr="00E22940">
              <w:rPr>
                <w:rFonts w:cs="Arial"/>
                <w:b/>
                <w:color w:val="000000" w:themeColor="text1"/>
                <w:sz w:val="20"/>
                <w:szCs w:val="20"/>
              </w:rPr>
              <w:t xml:space="preserve">  June 2021</w:t>
            </w:r>
          </w:p>
        </w:tc>
        <w:tc>
          <w:tcPr>
            <w:tcW w:w="1620" w:type="dxa"/>
          </w:tcPr>
          <w:p w:rsidR="00A54BF7" w:rsidRPr="00E22940" w:rsidRDefault="00A54BF7" w:rsidP="001C7965">
            <w:pPr>
              <w:pStyle w:val="NoSpacing"/>
              <w:jc w:val="center"/>
              <w:rPr>
                <w:rFonts w:cs="Arial"/>
                <w:b/>
                <w:sz w:val="20"/>
                <w:szCs w:val="20"/>
              </w:rPr>
            </w:pPr>
            <w:r w:rsidRPr="00E22940">
              <w:rPr>
                <w:rFonts w:cs="Arial"/>
                <w:b/>
                <w:color w:val="000000" w:themeColor="text1"/>
                <w:sz w:val="20"/>
                <w:szCs w:val="20"/>
              </w:rPr>
              <w:t>For the period 1</w:t>
            </w:r>
            <w:r w:rsidRPr="00E22940">
              <w:rPr>
                <w:rFonts w:cs="Arial"/>
                <w:b/>
                <w:color w:val="000000" w:themeColor="text1"/>
                <w:sz w:val="20"/>
                <w:szCs w:val="20"/>
                <w:vertAlign w:val="superscript"/>
              </w:rPr>
              <w:t>st</w:t>
            </w:r>
            <w:r w:rsidRPr="00E22940">
              <w:rPr>
                <w:rFonts w:cs="Arial"/>
                <w:b/>
                <w:color w:val="000000" w:themeColor="text1"/>
                <w:sz w:val="20"/>
                <w:szCs w:val="20"/>
              </w:rPr>
              <w:t xml:space="preserve"> </w:t>
            </w:r>
            <w:r w:rsidRPr="00E22940">
              <w:rPr>
                <w:rFonts w:cs="Arial"/>
                <w:b/>
                <w:color w:val="000000" w:themeColor="text1"/>
                <w:sz w:val="20"/>
                <w:szCs w:val="20"/>
                <w:vertAlign w:val="superscript"/>
              </w:rPr>
              <w:t xml:space="preserve"> </w:t>
            </w:r>
            <w:r w:rsidRPr="00E22940">
              <w:rPr>
                <w:rFonts w:cs="Arial"/>
                <w:b/>
                <w:color w:val="000000" w:themeColor="text1"/>
                <w:sz w:val="20"/>
                <w:szCs w:val="20"/>
              </w:rPr>
              <w:t>April to 30</w:t>
            </w:r>
            <w:r w:rsidRPr="00E22940">
              <w:rPr>
                <w:rFonts w:cs="Arial"/>
                <w:b/>
                <w:color w:val="000000" w:themeColor="text1"/>
                <w:sz w:val="20"/>
                <w:szCs w:val="20"/>
                <w:vertAlign w:val="superscript"/>
              </w:rPr>
              <w:t>th</w:t>
            </w:r>
            <w:r w:rsidRPr="00E22940">
              <w:rPr>
                <w:rFonts w:cs="Arial"/>
                <w:b/>
                <w:color w:val="000000" w:themeColor="text1"/>
                <w:sz w:val="20"/>
                <w:szCs w:val="20"/>
              </w:rPr>
              <w:t xml:space="preserve">  June 2020</w:t>
            </w:r>
          </w:p>
        </w:tc>
      </w:tr>
      <w:tr w:rsidR="00A54BF7" w:rsidRPr="00E22940" w:rsidTr="001C7965">
        <w:tc>
          <w:tcPr>
            <w:tcW w:w="2993" w:type="dxa"/>
          </w:tcPr>
          <w:p w:rsidR="00A54BF7" w:rsidRPr="00E22940" w:rsidRDefault="00A54BF7" w:rsidP="001C7965">
            <w:pPr>
              <w:pStyle w:val="NoSpacing"/>
              <w:jc w:val="both"/>
              <w:rPr>
                <w:rFonts w:cs="Arial"/>
                <w:sz w:val="20"/>
                <w:szCs w:val="20"/>
              </w:rPr>
            </w:pPr>
            <w:r w:rsidRPr="00E22940">
              <w:rPr>
                <w:rFonts w:cs="Arial"/>
                <w:sz w:val="20"/>
                <w:szCs w:val="20"/>
              </w:rPr>
              <w:t>Sales</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3,268.70 million</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1,972.26 million</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1,534.98 </w:t>
            </w:r>
            <w:r w:rsidRPr="00E22940">
              <w:rPr>
                <w:rFonts w:cs="Arial"/>
                <w:color w:val="000000" w:themeColor="text1"/>
                <w:sz w:val="20"/>
                <w:szCs w:val="20"/>
              </w:rPr>
              <w:t>million</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503.19</w:t>
            </w:r>
            <w:r w:rsidRPr="00E22940">
              <w:rPr>
                <w:rFonts w:cs="Arial"/>
                <w:color w:val="000000" w:themeColor="text1"/>
                <w:sz w:val="20"/>
                <w:szCs w:val="20"/>
              </w:rPr>
              <w:t xml:space="preserve"> million</w:t>
            </w:r>
          </w:p>
        </w:tc>
      </w:tr>
      <w:tr w:rsidR="00A54BF7" w:rsidRPr="00E22940" w:rsidTr="001C7965">
        <w:tc>
          <w:tcPr>
            <w:tcW w:w="2993" w:type="dxa"/>
          </w:tcPr>
          <w:p w:rsidR="00A54BF7" w:rsidRPr="00E22940" w:rsidRDefault="00A54BF7" w:rsidP="001C7965">
            <w:pPr>
              <w:pStyle w:val="NoSpacing"/>
              <w:jc w:val="both"/>
              <w:rPr>
                <w:rFonts w:cs="Arial"/>
                <w:sz w:val="20"/>
                <w:szCs w:val="20"/>
              </w:rPr>
            </w:pPr>
            <w:r w:rsidRPr="00E22940">
              <w:rPr>
                <w:rFonts w:cs="Arial"/>
                <w:sz w:val="20"/>
                <w:szCs w:val="20"/>
              </w:rPr>
              <w:t>Net Profit/ (Loss) After Tax</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435.56 million</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(36.77) million</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220.53 </w:t>
            </w:r>
            <w:r w:rsidRPr="00E22940">
              <w:rPr>
                <w:rFonts w:cs="Arial"/>
                <w:color w:val="000000" w:themeColor="text1"/>
                <w:sz w:val="20"/>
                <w:szCs w:val="20"/>
              </w:rPr>
              <w:t>million</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(188.46) </w:t>
            </w:r>
            <w:r w:rsidRPr="00E22940">
              <w:rPr>
                <w:rFonts w:cs="Arial"/>
                <w:color w:val="000000" w:themeColor="text1"/>
                <w:sz w:val="20"/>
                <w:szCs w:val="20"/>
              </w:rPr>
              <w:t>million</w:t>
            </w:r>
          </w:p>
        </w:tc>
      </w:tr>
      <w:tr w:rsidR="00A54BF7" w:rsidRPr="00E22940" w:rsidTr="001C7965">
        <w:trPr>
          <w:trHeight w:val="215"/>
        </w:trPr>
        <w:tc>
          <w:tcPr>
            <w:tcW w:w="2993" w:type="dxa"/>
          </w:tcPr>
          <w:p w:rsidR="00A54BF7" w:rsidRPr="00E22940" w:rsidRDefault="00A54BF7" w:rsidP="001C7965">
            <w:pPr>
              <w:pStyle w:val="NoSpacing"/>
              <w:jc w:val="both"/>
              <w:rPr>
                <w:rFonts w:cs="Arial"/>
                <w:sz w:val="20"/>
                <w:szCs w:val="20"/>
              </w:rPr>
            </w:pPr>
            <w:r w:rsidRPr="00E22940">
              <w:rPr>
                <w:rFonts w:cs="Arial"/>
                <w:sz w:val="20"/>
                <w:szCs w:val="20"/>
              </w:rPr>
              <w:t>Earnings Per Share (EPS)</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1.02</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(0.09)</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0.52</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(0.44)</w:t>
            </w:r>
          </w:p>
        </w:tc>
      </w:tr>
      <w:tr w:rsidR="00A54BF7" w:rsidRPr="00E22940" w:rsidTr="001C7965">
        <w:tc>
          <w:tcPr>
            <w:tcW w:w="2993" w:type="dxa"/>
          </w:tcPr>
          <w:p w:rsidR="00A54BF7" w:rsidRPr="00E22940" w:rsidRDefault="00A54BF7" w:rsidP="001C7965">
            <w:pPr>
              <w:pStyle w:val="NoSpacing"/>
              <w:jc w:val="both"/>
              <w:rPr>
                <w:rFonts w:cs="Arial"/>
                <w:sz w:val="20"/>
                <w:szCs w:val="20"/>
              </w:rPr>
            </w:pPr>
            <w:r w:rsidRPr="00E22940">
              <w:rPr>
                <w:rFonts w:cs="Arial"/>
                <w:sz w:val="20"/>
                <w:szCs w:val="20"/>
              </w:rPr>
              <w:t>Net Operating Cash Flow Per Share (NOCFPS)</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0.51</w:t>
            </w:r>
          </w:p>
        </w:tc>
        <w:tc>
          <w:tcPr>
            <w:tcW w:w="1620" w:type="dxa"/>
          </w:tcPr>
          <w:p w:rsidR="00A54BF7" w:rsidRPr="00E22940" w:rsidRDefault="00A54BF7" w:rsidP="001C7965">
            <w:pPr>
              <w:pStyle w:val="NoSpacing"/>
              <w:jc w:val="center"/>
              <w:rPr>
                <w:rFonts w:cs="Arial"/>
                <w:color w:val="000000" w:themeColor="text1"/>
                <w:sz w:val="20"/>
                <w:szCs w:val="20"/>
              </w:rPr>
            </w:pPr>
            <w:r w:rsidRPr="00E22940">
              <w:rPr>
                <w:rFonts w:cs="Arial"/>
                <w:color w:val="000000" w:themeColor="text1"/>
                <w:sz w:val="20"/>
                <w:szCs w:val="20"/>
              </w:rPr>
              <w:t>BDT (0.57)</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(0.53)</w:t>
            </w:r>
          </w:p>
        </w:tc>
        <w:tc>
          <w:tcPr>
            <w:tcW w:w="1620" w:type="dxa"/>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(1.16)</w:t>
            </w:r>
          </w:p>
        </w:tc>
      </w:tr>
      <w:tr w:rsidR="00A54BF7" w:rsidRPr="00E22940" w:rsidTr="001C7965">
        <w:tc>
          <w:tcPr>
            <w:tcW w:w="9473" w:type="dxa"/>
            <w:gridSpan w:val="5"/>
          </w:tcPr>
          <w:p w:rsidR="00A54BF7" w:rsidRPr="00E22940" w:rsidRDefault="00A54BF7" w:rsidP="001C7965">
            <w:pPr>
              <w:pStyle w:val="NoSpacing"/>
              <w:jc w:val="center"/>
              <w:rPr>
                <w:rFonts w:cs="Arial"/>
                <w:sz w:val="12"/>
                <w:szCs w:val="20"/>
              </w:rPr>
            </w:pPr>
          </w:p>
        </w:tc>
      </w:tr>
      <w:tr w:rsidR="00A54BF7" w:rsidRPr="00E22940" w:rsidTr="001C7965">
        <w:tc>
          <w:tcPr>
            <w:tcW w:w="2993" w:type="dxa"/>
          </w:tcPr>
          <w:p w:rsidR="00A54BF7" w:rsidRPr="00E22940" w:rsidRDefault="00A54BF7" w:rsidP="001C7965">
            <w:pPr>
              <w:pStyle w:val="NoSpacing"/>
              <w:jc w:val="both"/>
              <w:rPr>
                <w:rFonts w:cs="Arial"/>
                <w:sz w:val="20"/>
                <w:szCs w:val="20"/>
              </w:rPr>
            </w:pPr>
          </w:p>
        </w:tc>
        <w:tc>
          <w:tcPr>
            <w:tcW w:w="3240" w:type="dxa"/>
            <w:gridSpan w:val="2"/>
          </w:tcPr>
          <w:p w:rsidR="00A54BF7" w:rsidRPr="00E22940" w:rsidRDefault="00A54BF7" w:rsidP="001C7965">
            <w:pPr>
              <w:pStyle w:val="NoSpacing"/>
              <w:jc w:val="center"/>
              <w:rPr>
                <w:rFonts w:cs="Arial"/>
                <w:sz w:val="20"/>
                <w:szCs w:val="20"/>
              </w:rPr>
            </w:pPr>
            <w:r w:rsidRPr="00E22940">
              <w:rPr>
                <w:rFonts w:cs="Arial"/>
                <w:b/>
                <w:color w:val="000000" w:themeColor="text1"/>
                <w:sz w:val="20"/>
                <w:szCs w:val="20"/>
              </w:rPr>
              <w:t>As on June 30, 2021</w:t>
            </w:r>
          </w:p>
        </w:tc>
        <w:tc>
          <w:tcPr>
            <w:tcW w:w="3240" w:type="dxa"/>
            <w:gridSpan w:val="2"/>
          </w:tcPr>
          <w:p w:rsidR="00A54BF7" w:rsidRPr="00E22940" w:rsidRDefault="00A54BF7" w:rsidP="001C7965">
            <w:pPr>
              <w:pStyle w:val="NoSpacing"/>
              <w:jc w:val="center"/>
              <w:rPr>
                <w:rFonts w:cs="Arial"/>
                <w:sz w:val="20"/>
                <w:szCs w:val="20"/>
              </w:rPr>
            </w:pPr>
            <w:r w:rsidRPr="00E22940">
              <w:rPr>
                <w:rFonts w:cs="Arial"/>
                <w:b/>
                <w:color w:val="000000" w:themeColor="text1"/>
                <w:sz w:val="20"/>
                <w:szCs w:val="20"/>
              </w:rPr>
              <w:t>As on June 30, 2020</w:t>
            </w:r>
          </w:p>
        </w:tc>
      </w:tr>
      <w:tr w:rsidR="00A54BF7" w:rsidRPr="00E22940" w:rsidTr="001C7965">
        <w:tc>
          <w:tcPr>
            <w:tcW w:w="2993" w:type="dxa"/>
          </w:tcPr>
          <w:p w:rsidR="00A54BF7" w:rsidRPr="00E22940" w:rsidRDefault="00A54BF7" w:rsidP="001C7965">
            <w:pPr>
              <w:pStyle w:val="NoSpacing"/>
              <w:jc w:val="both"/>
              <w:rPr>
                <w:rFonts w:cs="Arial"/>
                <w:b/>
                <w:sz w:val="20"/>
                <w:szCs w:val="20"/>
              </w:rPr>
            </w:pPr>
            <w:r w:rsidRPr="00E22940">
              <w:rPr>
                <w:rFonts w:cs="Arial"/>
                <w:sz w:val="20"/>
                <w:szCs w:val="20"/>
              </w:rPr>
              <w:t>Net Asset Value (NAV)</w:t>
            </w:r>
          </w:p>
        </w:tc>
        <w:tc>
          <w:tcPr>
            <w:tcW w:w="3240" w:type="dxa"/>
            <w:gridSpan w:val="2"/>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7,030.91 million</w:t>
            </w:r>
          </w:p>
        </w:tc>
        <w:tc>
          <w:tcPr>
            <w:tcW w:w="3240" w:type="dxa"/>
            <w:gridSpan w:val="2"/>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 6,675.89 million</w:t>
            </w:r>
          </w:p>
        </w:tc>
      </w:tr>
      <w:tr w:rsidR="00A54BF7" w:rsidRPr="00E22940" w:rsidTr="001C7965">
        <w:tc>
          <w:tcPr>
            <w:tcW w:w="2993" w:type="dxa"/>
          </w:tcPr>
          <w:p w:rsidR="00A54BF7" w:rsidRPr="00E22940" w:rsidRDefault="00A54BF7" w:rsidP="001C7965">
            <w:pPr>
              <w:pStyle w:val="NoSpacing"/>
              <w:jc w:val="both"/>
              <w:rPr>
                <w:rFonts w:cs="Arial"/>
                <w:b/>
                <w:sz w:val="20"/>
                <w:szCs w:val="20"/>
              </w:rPr>
            </w:pPr>
            <w:r w:rsidRPr="00E22940">
              <w:rPr>
                <w:rFonts w:cs="Arial"/>
                <w:sz w:val="20"/>
                <w:szCs w:val="20"/>
              </w:rPr>
              <w:t>Net Asset Value (NAV) per share</w:t>
            </w:r>
          </w:p>
        </w:tc>
        <w:tc>
          <w:tcPr>
            <w:tcW w:w="3240" w:type="dxa"/>
            <w:gridSpan w:val="2"/>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16.43</w:t>
            </w:r>
          </w:p>
        </w:tc>
        <w:tc>
          <w:tcPr>
            <w:tcW w:w="3240" w:type="dxa"/>
            <w:gridSpan w:val="2"/>
          </w:tcPr>
          <w:p w:rsidR="00A54BF7" w:rsidRPr="00E22940" w:rsidRDefault="00A54BF7" w:rsidP="001C7965">
            <w:pPr>
              <w:pStyle w:val="NoSpacing"/>
              <w:jc w:val="center"/>
              <w:rPr>
                <w:rFonts w:cs="Arial"/>
                <w:sz w:val="20"/>
                <w:szCs w:val="20"/>
              </w:rPr>
            </w:pPr>
            <w:r w:rsidRPr="00E22940">
              <w:rPr>
                <w:rFonts w:cs="Arial"/>
                <w:color w:val="000000" w:themeColor="text1"/>
                <w:sz w:val="20"/>
                <w:szCs w:val="20"/>
              </w:rPr>
              <w:t>BDT</w:t>
            </w:r>
            <w:r w:rsidRPr="00E22940">
              <w:rPr>
                <w:rFonts w:cs="Arial"/>
                <w:sz w:val="20"/>
                <w:szCs w:val="20"/>
              </w:rPr>
              <w:t xml:space="preserve"> 15.60</w:t>
            </w:r>
          </w:p>
        </w:tc>
      </w:tr>
    </w:tbl>
    <w:p w:rsidR="00A54BF7" w:rsidRPr="00E22940" w:rsidRDefault="00A54BF7" w:rsidP="00A54BF7">
      <w:pPr>
        <w:pStyle w:val="NoSpacing"/>
        <w:jc w:val="both"/>
        <w:rPr>
          <w:rFonts w:cs="Arial"/>
          <w:color w:val="000000" w:themeColor="text1"/>
          <w:sz w:val="8"/>
          <w:szCs w:val="20"/>
        </w:rPr>
      </w:pPr>
    </w:p>
    <w:p w:rsidR="00A54BF7" w:rsidRPr="00E22940" w:rsidRDefault="00A54BF7" w:rsidP="00A54BF7">
      <w:pPr>
        <w:pStyle w:val="NoSpacing"/>
        <w:jc w:val="both"/>
        <w:rPr>
          <w:rFonts w:cs="Arial"/>
          <w:color w:val="000000" w:themeColor="text1"/>
          <w:sz w:val="20"/>
          <w:szCs w:val="20"/>
        </w:rPr>
      </w:pPr>
      <w:r w:rsidRPr="00E22940">
        <w:rPr>
          <w:rFonts w:cs="Arial"/>
          <w:color w:val="000000" w:themeColor="text1"/>
          <w:sz w:val="20"/>
          <w:szCs w:val="20"/>
        </w:rPr>
        <w:t xml:space="preserve">Kindly note that due to the revised and responsive business strategy taken by the management; sales is increased by 65.73% from BDT. 1,972.26 </w:t>
      </w:r>
      <w:proofErr w:type="spellStart"/>
      <w:r w:rsidRPr="00E22940">
        <w:rPr>
          <w:rFonts w:cs="Arial"/>
          <w:color w:val="000000" w:themeColor="text1"/>
          <w:sz w:val="20"/>
          <w:szCs w:val="20"/>
        </w:rPr>
        <w:t>mn</w:t>
      </w:r>
      <w:proofErr w:type="spellEnd"/>
      <w:r w:rsidRPr="00E22940">
        <w:rPr>
          <w:rFonts w:cs="Arial"/>
          <w:color w:val="000000" w:themeColor="text1"/>
          <w:sz w:val="20"/>
          <w:szCs w:val="20"/>
        </w:rPr>
        <w:t xml:space="preserve"> to BDT. 3,268.70 </w:t>
      </w:r>
      <w:proofErr w:type="spellStart"/>
      <w:r w:rsidRPr="00E22940">
        <w:rPr>
          <w:rFonts w:cs="Arial"/>
          <w:color w:val="000000" w:themeColor="text1"/>
          <w:sz w:val="20"/>
          <w:szCs w:val="20"/>
        </w:rPr>
        <w:t>mn</w:t>
      </w:r>
      <w:proofErr w:type="spellEnd"/>
      <w:r w:rsidRPr="00E22940">
        <w:rPr>
          <w:rFonts w:cs="Arial"/>
          <w:color w:val="000000" w:themeColor="text1"/>
          <w:sz w:val="20"/>
          <w:szCs w:val="20"/>
        </w:rPr>
        <w:t xml:space="preserve"> compared to same period of previous year. The company registered improvement of cost of sales due to enhanced control on cost compared to same period which resulting increase of earnings per share from BDT. </w:t>
      </w:r>
      <w:proofErr w:type="gramStart"/>
      <w:r w:rsidRPr="00E22940">
        <w:rPr>
          <w:rFonts w:cs="Arial"/>
          <w:color w:val="000000" w:themeColor="text1"/>
          <w:sz w:val="20"/>
          <w:szCs w:val="20"/>
        </w:rPr>
        <w:t>negative</w:t>
      </w:r>
      <w:proofErr w:type="gramEnd"/>
      <w:r w:rsidRPr="00E22940">
        <w:rPr>
          <w:rFonts w:cs="Arial"/>
          <w:color w:val="000000" w:themeColor="text1"/>
          <w:sz w:val="20"/>
          <w:szCs w:val="20"/>
        </w:rPr>
        <w:t xml:space="preserve"> 0.09 to BDT. </w:t>
      </w:r>
      <w:proofErr w:type="gramStart"/>
      <w:r w:rsidRPr="00E22940">
        <w:rPr>
          <w:rFonts w:cs="Arial"/>
          <w:color w:val="000000" w:themeColor="text1"/>
          <w:sz w:val="20"/>
          <w:szCs w:val="20"/>
        </w:rPr>
        <w:t>positive</w:t>
      </w:r>
      <w:proofErr w:type="gramEnd"/>
      <w:r w:rsidRPr="00E22940">
        <w:rPr>
          <w:rFonts w:cs="Arial"/>
          <w:color w:val="000000" w:themeColor="text1"/>
          <w:sz w:val="20"/>
          <w:szCs w:val="20"/>
        </w:rPr>
        <w:t xml:space="preserve"> 1.02. Reduction of tax rate by 2.5% as per Finance Act 2021 is another reason behind increase of earning per share. Therefore, cash receipts from customer increased in proportion with increase of sales value. The Company registered improvement of cost of goods sold due to enhanced control on cost compared to previous period. Also better management on working capital, including controlled payment terms with supplier has a direct impact on increase of net operating cash flow per share from BDT. </w:t>
      </w:r>
      <w:proofErr w:type="gramStart"/>
      <w:r w:rsidRPr="00E22940">
        <w:rPr>
          <w:rFonts w:cs="Arial"/>
          <w:color w:val="000000" w:themeColor="text1"/>
          <w:sz w:val="20"/>
          <w:szCs w:val="20"/>
        </w:rPr>
        <w:t>negative</w:t>
      </w:r>
      <w:proofErr w:type="gramEnd"/>
      <w:r w:rsidRPr="00E22940">
        <w:rPr>
          <w:rFonts w:cs="Arial"/>
          <w:color w:val="000000" w:themeColor="text1"/>
          <w:sz w:val="20"/>
          <w:szCs w:val="20"/>
        </w:rPr>
        <w:t xml:space="preserve"> 0.57 to BDT. </w:t>
      </w:r>
      <w:proofErr w:type="gramStart"/>
      <w:r w:rsidRPr="00E22940">
        <w:rPr>
          <w:rFonts w:cs="Arial"/>
          <w:color w:val="000000" w:themeColor="text1"/>
          <w:sz w:val="20"/>
          <w:szCs w:val="20"/>
        </w:rPr>
        <w:t>positive</w:t>
      </w:r>
      <w:proofErr w:type="gramEnd"/>
      <w:r w:rsidRPr="00E22940">
        <w:rPr>
          <w:rFonts w:cs="Arial"/>
          <w:color w:val="000000" w:themeColor="text1"/>
          <w:sz w:val="20"/>
          <w:szCs w:val="20"/>
        </w:rPr>
        <w:t xml:space="preserve"> 0.51.</w:t>
      </w:r>
    </w:p>
    <w:p w:rsidR="009C06C5" w:rsidRPr="002A37FE" w:rsidRDefault="009C06C5" w:rsidP="00A54BF7">
      <w:pPr>
        <w:pStyle w:val="NoSpacing"/>
        <w:jc w:val="both"/>
        <w:rPr>
          <w:rFonts w:cs="Arial"/>
          <w:color w:val="000000" w:themeColor="text1"/>
          <w:sz w:val="18"/>
          <w:szCs w:val="18"/>
        </w:rPr>
      </w:pPr>
      <w:bookmarkStart w:id="0" w:name="_GoBack"/>
      <w:bookmarkEnd w:id="0"/>
    </w:p>
    <w:p w:rsidR="00637ECF" w:rsidRPr="00D36B3B" w:rsidRDefault="00637ECF" w:rsidP="009C06C5">
      <w:pPr>
        <w:pStyle w:val="NoSpacing"/>
        <w:jc w:val="both"/>
        <w:rPr>
          <w:rFonts w:cs="Arial"/>
          <w:color w:val="000000" w:themeColor="text1"/>
          <w:sz w:val="20"/>
          <w:szCs w:val="20"/>
        </w:rPr>
      </w:pPr>
    </w:p>
    <w:p w:rsidR="00637ECF" w:rsidRPr="00D36B3B" w:rsidRDefault="00637ECF" w:rsidP="00637ECF">
      <w:pPr>
        <w:pStyle w:val="NoSpacing"/>
        <w:jc w:val="both"/>
        <w:rPr>
          <w:rFonts w:cs="Arial"/>
          <w:b/>
          <w:sz w:val="20"/>
          <w:szCs w:val="20"/>
        </w:rPr>
      </w:pP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t>For RAK Ceramics (Bangladesh) Limited</w:t>
      </w:r>
    </w:p>
    <w:p w:rsidR="00637ECF" w:rsidRPr="00D36B3B" w:rsidRDefault="00637ECF" w:rsidP="00637ECF">
      <w:pPr>
        <w:pStyle w:val="NoSpacing"/>
        <w:jc w:val="both"/>
        <w:rPr>
          <w:rFonts w:cs="Arial"/>
          <w:b/>
          <w:sz w:val="2"/>
          <w:szCs w:val="20"/>
        </w:rPr>
      </w:pPr>
    </w:p>
    <w:p w:rsidR="00637ECF" w:rsidRPr="00D36B3B" w:rsidRDefault="00637ECF" w:rsidP="00637ECF">
      <w:pPr>
        <w:pStyle w:val="NoSpacing"/>
        <w:jc w:val="both"/>
        <w:rPr>
          <w:rFonts w:cs="Arial"/>
          <w:b/>
          <w:sz w:val="20"/>
          <w:szCs w:val="20"/>
        </w:rPr>
      </w:pPr>
      <w:r w:rsidRPr="00D36B3B">
        <w:rPr>
          <w:rFonts w:cs="Arial"/>
          <w:b/>
          <w:sz w:val="20"/>
          <w:szCs w:val="20"/>
        </w:rPr>
        <w:t xml:space="preserve">          </w:t>
      </w:r>
    </w:p>
    <w:p w:rsidR="00637ECF" w:rsidRPr="00D36B3B" w:rsidRDefault="00637ECF" w:rsidP="00637ECF">
      <w:pPr>
        <w:pStyle w:val="NoSpacing"/>
        <w:jc w:val="both"/>
        <w:rPr>
          <w:rFonts w:cs="Arial"/>
          <w:b/>
          <w:sz w:val="20"/>
          <w:szCs w:val="20"/>
        </w:rPr>
      </w:pPr>
      <w:r w:rsidRPr="00D36B3B">
        <w:rPr>
          <w:rFonts w:cs="Arial"/>
          <w:b/>
          <w:sz w:val="20"/>
          <w:szCs w:val="20"/>
        </w:rPr>
        <w:t xml:space="preserve">        </w:t>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t xml:space="preserve">     </w:t>
      </w:r>
      <w:proofErr w:type="spellStart"/>
      <w:proofErr w:type="gramStart"/>
      <w:r w:rsidRPr="00D36B3B">
        <w:rPr>
          <w:rFonts w:cs="Arial"/>
          <w:b/>
          <w:sz w:val="20"/>
          <w:szCs w:val="20"/>
        </w:rPr>
        <w:t>Sd</w:t>
      </w:r>
      <w:proofErr w:type="spellEnd"/>
      <w:proofErr w:type="gramEnd"/>
      <w:r w:rsidRPr="00D36B3B">
        <w:rPr>
          <w:rFonts w:cs="Arial"/>
          <w:b/>
          <w:sz w:val="20"/>
          <w:szCs w:val="20"/>
        </w:rPr>
        <w:t>/-</w:t>
      </w:r>
    </w:p>
    <w:p w:rsidR="00637ECF" w:rsidRPr="00D36B3B" w:rsidRDefault="00637ECF" w:rsidP="00637ECF">
      <w:pPr>
        <w:pStyle w:val="NoSpacing"/>
        <w:jc w:val="both"/>
        <w:rPr>
          <w:rFonts w:cs="Arial"/>
          <w:b/>
          <w:sz w:val="20"/>
          <w:szCs w:val="20"/>
        </w:rPr>
      </w:pP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t xml:space="preserve">   (Muhammad </w:t>
      </w:r>
      <w:proofErr w:type="spellStart"/>
      <w:r w:rsidRPr="00D36B3B">
        <w:rPr>
          <w:rFonts w:cs="Arial"/>
          <w:b/>
          <w:sz w:val="20"/>
          <w:szCs w:val="20"/>
        </w:rPr>
        <w:t>Shahidul</w:t>
      </w:r>
      <w:proofErr w:type="spellEnd"/>
      <w:r w:rsidRPr="00D36B3B">
        <w:rPr>
          <w:rFonts w:cs="Arial"/>
          <w:b/>
          <w:sz w:val="20"/>
          <w:szCs w:val="20"/>
        </w:rPr>
        <w:t xml:space="preserve"> Islam FCS)</w:t>
      </w:r>
      <w:r w:rsidRPr="00D36B3B">
        <w:rPr>
          <w:rFonts w:cs="Arial"/>
          <w:b/>
          <w:noProof/>
          <w:sz w:val="20"/>
          <w:szCs w:val="20"/>
        </w:rPr>
        <w:t xml:space="preserve"> </w:t>
      </w:r>
    </w:p>
    <w:p w:rsidR="0053589D" w:rsidRDefault="00637ECF" w:rsidP="00D36B3B">
      <w:pPr>
        <w:pStyle w:val="NoSpacing"/>
        <w:jc w:val="both"/>
        <w:rPr>
          <w:rFonts w:cs="Arial"/>
          <w:b/>
          <w:sz w:val="20"/>
          <w:szCs w:val="20"/>
        </w:rPr>
      </w:pPr>
      <w:r w:rsidRPr="00D36B3B">
        <w:rPr>
          <w:rFonts w:cs="Arial"/>
          <w:b/>
          <w:sz w:val="20"/>
          <w:szCs w:val="20"/>
        </w:rPr>
        <w:t xml:space="preserve">        </w:t>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r>
      <w:r w:rsidRPr="00D36B3B">
        <w:rPr>
          <w:rFonts w:cs="Arial"/>
          <w:b/>
          <w:sz w:val="20"/>
          <w:szCs w:val="20"/>
        </w:rPr>
        <w:tab/>
        <w:t xml:space="preserve">  Company Secretary</w:t>
      </w:r>
    </w:p>
    <w:sectPr w:rsidR="0053589D" w:rsidSect="004F38DD">
      <w:pgSz w:w="12240" w:h="15840"/>
      <w:pgMar w:top="1584" w:right="1440" w:bottom="18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6F"/>
    <w:rsid w:val="002E386F"/>
    <w:rsid w:val="003A2E2E"/>
    <w:rsid w:val="004601D8"/>
    <w:rsid w:val="004F38DD"/>
    <w:rsid w:val="0053589D"/>
    <w:rsid w:val="00543C22"/>
    <w:rsid w:val="00594140"/>
    <w:rsid w:val="00626A2F"/>
    <w:rsid w:val="00637ECF"/>
    <w:rsid w:val="00734EDF"/>
    <w:rsid w:val="009C06C5"/>
    <w:rsid w:val="00A54BF7"/>
    <w:rsid w:val="00C76581"/>
    <w:rsid w:val="00D36B3B"/>
    <w:rsid w:val="00F8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568F4-28FC-4D60-A755-598E26F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C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4140"/>
    <w:pPr>
      <w:spacing w:after="0" w:line="240" w:lineRule="auto"/>
    </w:pPr>
    <w:rPr>
      <w:rFonts w:ascii="Arial" w:eastAsia="Arial" w:hAnsi="Arial" w:cs="Times New Roman"/>
    </w:rPr>
  </w:style>
  <w:style w:type="table" w:styleId="TableGrid">
    <w:name w:val="Table Grid"/>
    <w:basedOn w:val="TableNormal"/>
    <w:rsid w:val="0059414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6B3B"/>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Mahmudul Kabir Khan</dc:creator>
  <cp:keywords/>
  <dc:description/>
  <cp:lastModifiedBy>Mahmudul Kabir Khan</cp:lastModifiedBy>
  <cp:revision>4</cp:revision>
  <cp:lastPrinted>2021-02-03T14:40:00Z</cp:lastPrinted>
  <dcterms:created xsi:type="dcterms:W3CDTF">2021-02-03T14:40:00Z</dcterms:created>
  <dcterms:modified xsi:type="dcterms:W3CDTF">2021-07-29T11:20:00Z</dcterms:modified>
</cp:coreProperties>
</file>